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0.0" w:type="dxa"/>
        <w:jc w:val="left"/>
        <w:tblInd w:w="5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15"/>
        <w:gridCol w:w="3345"/>
        <w:tblGridChange w:id="0">
          <w:tblGrid>
            <w:gridCol w:w="5715"/>
            <w:gridCol w:w="3345"/>
          </w:tblGrid>
        </w:tblGridChange>
      </w:tblGrid>
      <w:tr>
        <w:trPr>
          <w:trHeight w:val="264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ind w:left="720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ind w:left="0" w:firstLine="0"/>
              <w:jc w:val="center"/>
              <w:rPr>
                <w:b w:val="1"/>
                <w:color w:val="093075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ind w:lef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93075"/>
                <w:sz w:val="36"/>
                <w:szCs w:val="36"/>
                <w:rtl w:val="0"/>
              </w:rPr>
              <w:t xml:space="preserve">Сопровождение программ 1С:</w:t>
            </w: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      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все о возможностях и сервисах!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</w:rPr>
              <w:drawing>
                <wp:inline distB="114300" distT="114300" distL="114300" distR="114300">
                  <wp:extent cx="1981200" cy="147320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473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Verdana" w:cs="Verdana" w:eastAsia="Verdana" w:hAnsi="Verdana"/>
          <w:color w:val="39404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394041"/>
          <w:sz w:val="21"/>
          <w:szCs w:val="21"/>
          <w:highlight w:val="white"/>
          <w:rtl w:val="0"/>
        </w:rPr>
        <w:t xml:space="preserve">Для получения качественного сопровождения программ 1С всегда требуется комплексная поддержка. Как ее получить и выбрать договор, который подойдет именно вам? Какой договор оформить, чтобы получить максимальные возможности от сопровождения? Расскажем на вебинаре!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auto" w:space="1" w:sz="0" w:val="none"/>
          <w:left w:color="auto" w:space="0" w:sz="0" w:val="none"/>
          <w:bottom w:color="auto" w:space="1" w:sz="0" w:val="none"/>
          <w:right w:color="auto" w:space="0" w:sz="0" w:val="none"/>
          <w:between w:color="auto" w:space="1" w:sz="0" w:val="none"/>
        </w:pBdr>
        <w:shd w:fill="ffffff" w:val="clear"/>
        <w:spacing w:after="160" w:line="331.2" w:lineRule="auto"/>
        <w:rPr>
          <w:color w:val="333333"/>
          <w:sz w:val="20"/>
          <w:szCs w:val="20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Дата проведения: 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23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 сентября 2020 года.</w:t>
      </w:r>
      <w:r w:rsidDel="00000000" w:rsidR="00000000" w:rsidRPr="00000000">
        <w:rPr>
          <w:b w:val="1"/>
          <w:color w:val="333333"/>
          <w:sz w:val="20"/>
          <w:szCs w:val="20"/>
          <w:highlight w:val="yellow"/>
          <w:rtl w:val="0"/>
        </w:rPr>
        <w:br w:type="textWrapping"/>
      </w: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Время проведения: 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с 11:00 до 13:00 по МСК.</w:t>
      </w:r>
    </w:p>
    <w:p w:rsidR="00000000" w:rsidDel="00000000" w:rsidP="00000000" w:rsidRDefault="00000000" w:rsidRPr="00000000" w14:paraId="0000000B">
      <w:pPr>
        <w:pBdr>
          <w:top w:color="auto" w:space="1" w:sz="0" w:val="none"/>
          <w:left w:color="auto" w:space="0" w:sz="0" w:val="none"/>
          <w:bottom w:color="auto" w:space="1" w:sz="0" w:val="none"/>
          <w:right w:color="auto" w:space="0" w:sz="0" w:val="none"/>
          <w:between w:color="auto" w:space="1" w:sz="0" w:val="none"/>
        </w:pBdr>
        <w:shd w:fill="ffffff" w:val="clear"/>
        <w:spacing w:after="160" w:line="331.2" w:lineRule="auto"/>
        <w:rPr>
          <w:color w:val="333333"/>
          <w:sz w:val="20"/>
          <w:szCs w:val="20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Вам будет интересно, если вы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hd w:fill="ffffff" w:val="clear"/>
        <w:ind w:left="940" w:hanging="36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руководитель организации, использующий продукты «1С:Предприятие»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hd w:fill="ffffff" w:val="clear"/>
        <w:ind w:left="940" w:hanging="36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бухгалтер, экономист и/или специалист по кадрам.</w:t>
      </w:r>
    </w:p>
    <w:p w:rsidR="00000000" w:rsidDel="00000000" w:rsidP="00000000" w:rsidRDefault="00000000" w:rsidRPr="00000000" w14:paraId="0000000E">
      <w:pPr>
        <w:pStyle w:val="Heading3"/>
        <w:keepNext w:val="0"/>
        <w:keepLines w:val="0"/>
        <w:pBdr>
          <w:top w:color="auto" w:space="7" w:sz="0" w:val="none"/>
          <w:left w:color="auto" w:space="0" w:sz="0" w:val="none"/>
          <w:bottom w:color="auto" w:space="9" w:sz="0" w:val="none"/>
          <w:right w:color="auto" w:space="0" w:sz="0" w:val="none"/>
        </w:pBdr>
        <w:shd w:fill="ffffff" w:val="clear"/>
        <w:spacing w:after="0" w:before="0" w:line="332.3088" w:lineRule="auto"/>
        <w:rPr>
          <w:b w:val="1"/>
          <w:color w:val="333333"/>
          <w:sz w:val="20"/>
          <w:szCs w:val="20"/>
        </w:rPr>
      </w:pPr>
      <w:bookmarkStart w:colFirst="0" w:colLast="0" w:name="_u31kt2jfn5fn" w:id="0"/>
      <w:bookmarkEnd w:id="0"/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Программа вебинара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color w:val="00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Ценность и польза договора 1С:ИТС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color w:val="00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Сервисы для комфортной работы в программе 1С: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удобная отправка отчетности 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безошибочное заполнение реквизитов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быстрый обмен документами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практические консультации по ведению учета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сохранность базы данных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color w:val="00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Экономия на сопровождении с договором 1С:ИТС ПРОФ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color w:val="00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“Базовые” тоже нуждаются в сопровождении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color w:val="00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Ответы на вопросы </w:t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3"/>
        <w:keepNext w:val="0"/>
        <w:keepLines w:val="0"/>
        <w:pBdr>
          <w:top w:color="auto" w:space="7" w:sz="0" w:val="none"/>
          <w:left w:color="auto" w:space="0" w:sz="0" w:val="none"/>
          <w:bottom w:color="auto" w:space="9" w:sz="0" w:val="none"/>
          <w:right w:color="auto" w:space="0" w:sz="0" w:val="none"/>
        </w:pBdr>
        <w:shd w:fill="ffffff" w:val="clear"/>
        <w:spacing w:after="0" w:before="0" w:line="332.3088" w:lineRule="auto"/>
        <w:rPr>
          <w:b w:val="1"/>
          <w:color w:val="333333"/>
          <w:sz w:val="20"/>
          <w:szCs w:val="20"/>
        </w:rPr>
      </w:pPr>
      <w:bookmarkStart w:colFirst="0" w:colLast="0" w:name="_mk05d6y4cey3" w:id="1"/>
      <w:bookmarkEnd w:id="1"/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Докладчик:</w:t>
      </w:r>
    </w:p>
    <w:p w:rsidR="00000000" w:rsidDel="00000000" w:rsidP="00000000" w:rsidRDefault="00000000" w:rsidRPr="00000000" w14:paraId="0000001B">
      <w:pPr>
        <w:shd w:fill="ffffff" w:val="clear"/>
        <w:spacing w:line="331.2" w:lineRule="auto"/>
        <w:ind w:right="-891.2598425196836"/>
        <w:rPr>
          <w:color w:val="333333"/>
          <w:sz w:val="20"/>
          <w:szCs w:val="20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Таутинова Ольга 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— ведущий менеджер по работе с партнерами, компания «1С‑Рарус», г. Москва.</w:t>
      </w:r>
    </w:p>
    <w:p w:rsidR="00000000" w:rsidDel="00000000" w:rsidP="00000000" w:rsidRDefault="00000000" w:rsidRPr="00000000" w14:paraId="0000001C">
      <w:pPr>
        <w:shd w:fill="ffffff" w:val="clear"/>
        <w:spacing w:line="331.2" w:lineRule="auto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line="331.2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В результате вы узнаете: 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hd w:fill="ffffff" w:val="clear"/>
        <w:ind w:left="940" w:hanging="360"/>
        <w:rPr>
          <w:color w:val="00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как получить все доступные сервисы системы 1С:ИТС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hd w:fill="ffffff" w:val="clear"/>
        <w:ind w:left="940" w:hanging="360"/>
        <w:rPr>
          <w:color w:val="00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как сэкономить на сопровождении программного продукта 1С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hd w:fill="ffffff" w:val="clear"/>
        <w:ind w:left="940" w:hanging="360"/>
        <w:rPr>
          <w:color w:val="00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об инструментах, которые помогут  ускорить рутинные операции 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hd w:fill="ffffff" w:val="clear"/>
        <w:ind w:left="940" w:hanging="360"/>
        <w:rPr>
          <w:color w:val="00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о комфорте в использовании 1С:ИТС и сервисов</w:t>
      </w:r>
    </w:p>
    <w:p w:rsidR="00000000" w:rsidDel="00000000" w:rsidP="00000000" w:rsidRDefault="00000000" w:rsidRPr="00000000" w14:paraId="00000022">
      <w:pPr>
        <w:shd w:fill="ffffff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jc w:val="center"/>
        <w:rPr>
          <w:b w:val="1"/>
          <w:sz w:val="24"/>
          <w:szCs w:val="24"/>
        </w:rPr>
      </w:pPr>
      <w:hyperlink r:id="rId7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Зарегистрироваться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color="auto" w:space="1" w:sz="0" w:val="none"/>
          <w:bottom w:color="auto" w:space="1" w:sz="0" w:val="none"/>
          <w:right w:color="auto" w:space="0" w:sz="0" w:val="none"/>
          <w:between w:color="auto" w:space="1" w:sz="0" w:val="none"/>
        </w:pBdr>
        <w:shd w:fill="ffffff" w:val="clear"/>
        <w:spacing w:after="320" w:lineRule="auto"/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425.1968503937008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rarus-soft.ru/press/events/reg_form.php?back=detail&amp;actionId=366471&amp;utm_source=email&amp;utm_medium=email&amp;utm_campaign=press_events_reg_form_php_back_detail_actionId_3664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